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39" w:rsidRPr="00D57439" w:rsidRDefault="00D57439" w:rsidP="00D574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D57439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МИНИСТЕРСТВО КУЛЬТУРЫ РОССИЙСКОЙ ФЕДЕРАЦИИ</w:t>
      </w:r>
    </w:p>
    <w:p w:rsidR="00D57439" w:rsidRPr="00D57439" w:rsidRDefault="00D57439" w:rsidP="00D574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:rsidR="00D57439" w:rsidRPr="00D57439" w:rsidRDefault="00D57439" w:rsidP="00D574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D5743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ПРИКАЗ</w:t>
      </w:r>
    </w:p>
    <w:p w:rsidR="00D57439" w:rsidRPr="00D57439" w:rsidRDefault="00D57439" w:rsidP="00D574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57439" w:rsidRPr="00D57439" w:rsidRDefault="00D57439" w:rsidP="00D574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D5743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 30 декабря 2015 г. N 3453</w:t>
      </w:r>
    </w:p>
    <w:p w:rsidR="00D57439" w:rsidRPr="00D57439" w:rsidRDefault="00D57439" w:rsidP="00D574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57439" w:rsidRPr="00D57439" w:rsidRDefault="00D57439" w:rsidP="00D574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D5743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ОБ УТВЕРЖДЕНИИ МЕТОДИЧЕСКИХ РЕКОМЕНДАЦИЙ</w:t>
      </w:r>
    </w:p>
    <w:p w:rsidR="00D57439" w:rsidRPr="00D57439" w:rsidRDefault="00D57439" w:rsidP="00D574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D5743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 ФОРМИРОВАНИЮ ШТАТНОЙ ЧИСЛЕННОСТИ РАБОТНИКОВ</w:t>
      </w:r>
    </w:p>
    <w:p w:rsidR="00D57439" w:rsidRPr="00D57439" w:rsidRDefault="00D57439" w:rsidP="00D574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D5743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ГОСУДАРСТВЕННЫХ (МУНИЦИПАЛЬНЫХ) КУЛЬТУРНО-ДОСУГОВЫХ</w:t>
      </w:r>
    </w:p>
    <w:p w:rsidR="00D57439" w:rsidRPr="00D57439" w:rsidRDefault="00D57439" w:rsidP="00D574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D5743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УЧРЕЖДЕНИЙ И ДРУГИХ ОРГАНИЗАЦИЙ КУЛЬТУРНО-ДОСУГОВОГО</w:t>
      </w:r>
    </w:p>
    <w:p w:rsidR="00D57439" w:rsidRPr="00D57439" w:rsidRDefault="00D57439" w:rsidP="00D574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D5743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ТИПА С УЧЕТОМ ОТРАСЛЕВОЙ СПЕЦИФИКИ</w:t>
      </w:r>
    </w:p>
    <w:p w:rsidR="00D57439" w:rsidRPr="00D57439" w:rsidRDefault="00D57439" w:rsidP="00D574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57439" w:rsidRPr="00D57439" w:rsidRDefault="00D57439" w:rsidP="00D57439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D5743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 соответствии с пунктом 4 раздела V Плана мероприятий ("дорожной карты") "Изменения в отраслях социальной сферы, направленные на повышение эффективности сферы культуры", утвержденного распоряжением Правительства Российской Федерации от 28.12.2012 N 2606-р (Собрание законодательства Российской Федерации, 2013, N 2, ст. 137; 2014, N 19, ст. 2470; 2015, N 18, ст. 2768), приказываю:</w:t>
      </w:r>
    </w:p>
    <w:p w:rsidR="00D57439" w:rsidRPr="00D57439" w:rsidRDefault="00D57439" w:rsidP="00D57439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57439" w:rsidRPr="00D57439" w:rsidRDefault="00D57439" w:rsidP="00D57439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D5743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1. Утвердить Методические рекомендации по формированию штатной численности работников государственных (муниципальных) культурно-досуговых учреждений и других организаций культурно-досугового типа с учетом отраслевой специфики согласно приложению.</w:t>
      </w:r>
    </w:p>
    <w:p w:rsidR="00D57439" w:rsidRPr="00D57439" w:rsidRDefault="00D57439" w:rsidP="00D57439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57439" w:rsidRPr="00D57439" w:rsidRDefault="00D57439" w:rsidP="00D57439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D5743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2. Контроль за исполнением настоящего приказа возложить на заместителя Министра культуры Российской Федерации Н.А. </w:t>
      </w:r>
      <w:proofErr w:type="spellStart"/>
      <w:r w:rsidRPr="00D5743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Малакова</w:t>
      </w:r>
      <w:proofErr w:type="spellEnd"/>
      <w:r w:rsidRPr="00D5743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</w:t>
      </w:r>
    </w:p>
    <w:p w:rsidR="00D57439" w:rsidRPr="00D57439" w:rsidRDefault="00D57439" w:rsidP="00D57439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57439" w:rsidRDefault="00D57439" w:rsidP="00D57439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proofErr w:type="spellStart"/>
      <w:r w:rsidRPr="00D5743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Врио</w:t>
      </w:r>
      <w:proofErr w:type="spellEnd"/>
      <w:r w:rsidRPr="00D5743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Министра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</w:t>
      </w:r>
      <w:r w:rsidRPr="00D5743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Н.А.МАЛАКОВ</w:t>
      </w:r>
    </w:p>
    <w:p w:rsidR="00D57439" w:rsidRDefault="00D57439" w:rsidP="00D57439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57439" w:rsidRDefault="00D57439" w:rsidP="00D57439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57439" w:rsidRDefault="00D57439" w:rsidP="00D57439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57439" w:rsidRDefault="00D57439" w:rsidP="00D57439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57439" w:rsidRDefault="00D57439" w:rsidP="00D57439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57439" w:rsidRDefault="00D57439" w:rsidP="00D57439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57439" w:rsidRDefault="00D57439" w:rsidP="00D57439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57439" w:rsidRDefault="00D57439" w:rsidP="00D57439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57439" w:rsidRDefault="00D57439" w:rsidP="00D57439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57439" w:rsidRDefault="00D57439" w:rsidP="00D57439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57439" w:rsidRDefault="00D57439" w:rsidP="00D57439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57439" w:rsidRDefault="00D57439" w:rsidP="00D57439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57439" w:rsidRDefault="00D57439" w:rsidP="00D57439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D57439" w:rsidRPr="00D57439" w:rsidRDefault="00D57439" w:rsidP="00D57439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5743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lastRenderedPageBreak/>
        <w:t>1. Нормы наполняемости участниками коллективов (рекомендационные)</w:t>
      </w:r>
    </w:p>
    <w:p w:rsidR="00D57439" w:rsidRPr="00D57439" w:rsidRDefault="00D57439" w:rsidP="00D57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" w:name="100029"/>
      <w:bookmarkEnd w:id="1"/>
    </w:p>
    <w:p w:rsidR="00D57439" w:rsidRPr="00D57439" w:rsidRDefault="00D57439" w:rsidP="00D5743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57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Таблица 1</w:t>
      </w:r>
    </w:p>
    <w:p w:rsidR="00D57439" w:rsidRPr="00D57439" w:rsidRDefault="00D57439" w:rsidP="00D57439">
      <w:pPr>
        <w:spacing w:after="0" w:line="293" w:lineRule="atLeast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2" w:name="100030"/>
      <w:bookmarkEnd w:id="2"/>
      <w:r w:rsidRPr="00D5743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Нормы наполняемости участниками</w:t>
      </w:r>
    </w:p>
    <w:p w:rsidR="00D57439" w:rsidRPr="00D57439" w:rsidRDefault="00D57439" w:rsidP="00D57439">
      <w:pPr>
        <w:spacing w:after="300" w:line="293" w:lineRule="atLeast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5743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коллективов (рекомендационные)</w:t>
      </w:r>
    </w:p>
    <w:p w:rsidR="00D57439" w:rsidRPr="00D57439" w:rsidRDefault="00D57439" w:rsidP="00D5743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0031"/>
      <w:bookmarkEnd w:id="3"/>
      <w:r w:rsidRPr="00D57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(человек)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894"/>
        <w:gridCol w:w="1499"/>
        <w:gridCol w:w="2207"/>
        <w:gridCol w:w="1559"/>
      </w:tblGrid>
      <w:tr w:rsidR="00D57439" w:rsidRPr="00D57439" w:rsidTr="00D57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" w:name="100032"/>
            <w:bookmarkEnd w:id="4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Типы коллективов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" w:name="100033"/>
            <w:bookmarkEnd w:id="5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Нормы наполняемости участниками коллективов в Учреждениях</w:t>
            </w:r>
          </w:p>
        </w:tc>
      </w:tr>
      <w:tr w:rsidR="00D57439" w:rsidRPr="00D57439" w:rsidTr="00D57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" w:name="100034"/>
            <w:bookmarkEnd w:id="6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" w:name="100035"/>
            <w:bookmarkEnd w:id="7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На окружном и районном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" w:name="100036"/>
            <w:bookmarkEnd w:id="8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На муниципальном городском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" w:name="100037"/>
            <w:bookmarkEnd w:id="9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На уровне сельских поселений</w:t>
            </w:r>
          </w:p>
        </w:tc>
      </w:tr>
      <w:tr w:rsidR="00D57439" w:rsidRPr="00D57439" w:rsidTr="00D57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" w:name="100038"/>
            <w:bookmarkEnd w:id="10"/>
            <w:r w:rsidRPr="00D5743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Художественно-творческие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" w:name="100039"/>
            <w:bookmarkEnd w:id="11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15 - 45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" w:name="100040"/>
            <w:bookmarkEnd w:id="12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16 - 25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" w:name="100041"/>
            <w:bookmarkEnd w:id="13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16 - 20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" w:name="100042"/>
            <w:bookmarkEnd w:id="14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10 - 16</w:t>
            </w:r>
          </w:p>
        </w:tc>
      </w:tr>
      <w:tr w:rsidR="00D57439" w:rsidRPr="00D57439" w:rsidTr="00D57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5" w:name="100043"/>
            <w:bookmarkEnd w:id="15"/>
            <w:r w:rsidRPr="00D5743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Творческо-прикладные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" w:name="100044"/>
            <w:bookmarkEnd w:id="16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15 - 30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" w:name="100045"/>
            <w:bookmarkEnd w:id="17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18 - 20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" w:name="100046"/>
            <w:bookmarkEnd w:id="18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12 - 18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" w:name="100047"/>
            <w:bookmarkEnd w:id="19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8 - 12</w:t>
            </w:r>
          </w:p>
        </w:tc>
      </w:tr>
      <w:tr w:rsidR="00D57439" w:rsidRPr="00D57439" w:rsidTr="00D57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0" w:name="100048"/>
            <w:bookmarkEnd w:id="20"/>
            <w:r w:rsidRPr="00D5743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Спортивно-оздоровительные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" w:name="100049"/>
            <w:bookmarkEnd w:id="21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20 - 30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" w:name="100050"/>
            <w:bookmarkEnd w:id="22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25 - 30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" w:name="100051"/>
            <w:bookmarkEnd w:id="23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20 - 25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" w:name="100052"/>
            <w:bookmarkEnd w:id="24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10 - 20</w:t>
            </w:r>
          </w:p>
        </w:tc>
      </w:tr>
      <w:tr w:rsidR="00D57439" w:rsidRPr="00D57439" w:rsidTr="00D57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5" w:name="100053"/>
            <w:bookmarkEnd w:id="25"/>
            <w:r w:rsidRPr="00D5743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Культурно-просветительские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" w:name="100054"/>
            <w:bookmarkEnd w:id="26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15 - 20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" w:name="100055"/>
            <w:bookmarkEnd w:id="27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15 - 18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8" w:name="100056"/>
            <w:bookmarkEnd w:id="28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12 - 15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9" w:name="100057"/>
            <w:bookmarkEnd w:id="29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10 - 12</w:t>
            </w:r>
          </w:p>
        </w:tc>
      </w:tr>
      <w:tr w:rsidR="00D57439" w:rsidRPr="00D57439" w:rsidTr="00D57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0" w:name="100058"/>
            <w:bookmarkEnd w:id="30"/>
            <w:r w:rsidRPr="00D57439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Технического 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1" w:name="100059"/>
            <w:bookmarkEnd w:id="31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15 - 25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2" w:name="100060"/>
            <w:bookmarkEnd w:id="32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15 - 20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3" w:name="100061"/>
            <w:bookmarkEnd w:id="33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12 - 15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7439" w:rsidRPr="00D57439" w:rsidRDefault="00D57439" w:rsidP="00D57439">
            <w:pPr>
              <w:spacing w:after="0" w:line="293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4" w:name="100062"/>
            <w:bookmarkEnd w:id="34"/>
            <w:r w:rsidRPr="00D57439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10 - 12</w:t>
            </w:r>
          </w:p>
        </w:tc>
      </w:tr>
    </w:tbl>
    <w:p w:rsidR="00D57439" w:rsidRPr="00D57439" w:rsidRDefault="00D57439" w:rsidP="00D5743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" w:name="100063"/>
      <w:bookmarkEnd w:id="35"/>
      <w:r w:rsidRPr="00D57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Наполняемость коллектива, действующего на платной основе, определяется руководителем Учреждения.</w:t>
      </w:r>
    </w:p>
    <w:p w:rsidR="00D57439" w:rsidRPr="00D57439" w:rsidRDefault="00D57439" w:rsidP="00D5743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" w:name="100064"/>
      <w:bookmarkEnd w:id="36"/>
      <w:r w:rsidRPr="00D57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Организация деятельности клубных формирований, творческих коллективов, студий, кружков, секций, любительских объединений по типам, а также объемы работ по организации и проведению культурно-массовых мероприятий различных направлений и тематик (в том числе платных) определяются государственным (муниципальным) заданием.</w:t>
      </w:r>
    </w:p>
    <w:p w:rsidR="00D57439" w:rsidRPr="00D57439" w:rsidRDefault="00D57439" w:rsidP="00D5743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" w:name="100065"/>
      <w:bookmarkEnd w:id="37"/>
      <w:r w:rsidRPr="00D57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В коллективах, которым присвоены почетные звания "Народный", "Образцовый", нормы численности соответствующих творческих работников могут быть увеличены в два раза.</w:t>
      </w:r>
    </w:p>
    <w:p w:rsidR="00D57439" w:rsidRPr="00D57439" w:rsidRDefault="00D57439" w:rsidP="00D5743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" w:name="100066"/>
      <w:bookmarkEnd w:id="38"/>
      <w:r w:rsidRPr="00D57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Продолжительность рабочего времени работников определяется согласно Трудовому </w:t>
      </w:r>
      <w:hyperlink r:id="rId4" w:history="1">
        <w:r w:rsidRPr="00D57439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Кодексу</w:t>
        </w:r>
      </w:hyperlink>
      <w:r w:rsidRPr="00D57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Российской Федерации, нормативным правовым актам, Уставом и трудовым распорядком Учреждений.</w:t>
      </w:r>
    </w:p>
    <w:p w:rsidR="00D57439" w:rsidRPr="00D57439" w:rsidRDefault="00D57439" w:rsidP="00D5743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" w:name="100067"/>
      <w:bookmarkEnd w:id="39"/>
      <w:r w:rsidRPr="00D57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Ответственность за разработку и пересмотр нормирования труда в учреждении несет работодатель с учетом мнения выборного органа первичной профсоюзной организации.</w:t>
      </w:r>
    </w:p>
    <w:p w:rsidR="00D57439" w:rsidRPr="00D57439" w:rsidRDefault="00D57439" w:rsidP="00D5743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" w:name="100068"/>
      <w:bookmarkEnd w:id="40"/>
      <w:r w:rsidRPr="00D57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При расчете норм труда и штатной численности в Учреждениях:</w:t>
      </w:r>
    </w:p>
    <w:p w:rsidR="00D57439" w:rsidRPr="00D57439" w:rsidRDefault="00D57439" w:rsidP="00D5743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" w:name="100069"/>
      <w:bookmarkEnd w:id="41"/>
      <w:r w:rsidRPr="00D57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используются типовые отраслевые нормы труда;</w:t>
      </w:r>
    </w:p>
    <w:p w:rsidR="00D57439" w:rsidRPr="00D57439" w:rsidRDefault="00D57439" w:rsidP="00D5743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" w:name="100070"/>
      <w:bookmarkEnd w:id="42"/>
      <w:r w:rsidRPr="00D57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типовые нормы труда;</w:t>
      </w:r>
    </w:p>
    <w:p w:rsidR="00D57439" w:rsidRPr="00D57439" w:rsidRDefault="00D57439" w:rsidP="00D5743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" w:name="100071"/>
      <w:bookmarkEnd w:id="43"/>
      <w:r w:rsidRPr="00D57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регламенты выполнения работ по типам учреждений.</w:t>
      </w:r>
    </w:p>
    <w:p w:rsidR="00D57439" w:rsidRPr="00D57439" w:rsidRDefault="00D57439" w:rsidP="00D5743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4" w:name="100072"/>
      <w:bookmarkEnd w:id="44"/>
      <w:r w:rsidRPr="00D57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При этом рекомендуется учитывать все понятия и факторы, влияющие на величину затрат труда и условия выполнения работ:</w:t>
      </w:r>
    </w:p>
    <w:p w:rsidR="00D57439" w:rsidRPr="00D57439" w:rsidRDefault="00D57439" w:rsidP="00D5743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" w:name="100073"/>
      <w:bookmarkEnd w:id="45"/>
      <w:r w:rsidRPr="00D57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технические - параметры технологического процесса, оборудования, приспособлений, требования к качеству продукции, услуг;</w:t>
      </w:r>
    </w:p>
    <w:p w:rsidR="00D57439" w:rsidRPr="00D57439" w:rsidRDefault="00D57439" w:rsidP="00D5743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" w:name="100074"/>
      <w:bookmarkEnd w:id="46"/>
      <w:r w:rsidRPr="00D57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организационные - характеристики организации трудовых процессов, в том числе организации рабочих мест, систем и видов обслуживания, методов и приемов труда;</w:t>
      </w:r>
    </w:p>
    <w:p w:rsidR="00D57439" w:rsidRPr="00D57439" w:rsidRDefault="00D57439" w:rsidP="00D5743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7" w:name="100075"/>
      <w:bookmarkEnd w:id="47"/>
      <w:r w:rsidRPr="00D57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санитарно-гигиенические - характеристики производственной среды (освещенность рабочих мест, температура воздуха, шум, вибрация и другие);</w:t>
      </w:r>
    </w:p>
    <w:p w:rsidR="00D57439" w:rsidRPr="00D57439" w:rsidRDefault="00D57439" w:rsidP="00D5743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" w:name="100076"/>
      <w:bookmarkEnd w:id="48"/>
      <w:r w:rsidRPr="00D57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психофизиологические - показатели, характеризующие влияние трудовых процессов на организм работника (затраты физической и умственной энергии, степень утомления и так далее);</w:t>
      </w:r>
    </w:p>
    <w:p w:rsidR="00D57439" w:rsidRPr="00D57439" w:rsidRDefault="00D57439" w:rsidP="00D5743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" w:name="100077"/>
      <w:bookmarkEnd w:id="49"/>
      <w:r w:rsidRPr="00D57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социальные - характеристики профессионально-квалификационного уровня персонала, отношения к труду и другие (потери рабочего времени из-за нарушений трудовой дисциплины, временной нетрудоспособности, текучести кадров);</w:t>
      </w:r>
    </w:p>
    <w:p w:rsidR="00D57439" w:rsidRPr="00D57439" w:rsidRDefault="00D57439" w:rsidP="00D5743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0" w:name="100078"/>
      <w:bookmarkEnd w:id="50"/>
      <w:r w:rsidRPr="00D57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правовые - предусмотренные нормативными правовыми актами продолжительность рабочего времени, формы организации труда;</w:t>
      </w:r>
    </w:p>
    <w:p w:rsidR="00D57439" w:rsidRPr="00D57439" w:rsidRDefault="00D57439" w:rsidP="00D57439">
      <w:pPr>
        <w:spacing w:after="0" w:line="293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1" w:name="100079"/>
      <w:bookmarkEnd w:id="51"/>
      <w:r w:rsidRPr="00D57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структурные, экономические и другие факторы.</w:t>
      </w:r>
    </w:p>
    <w:p w:rsidR="00D57439" w:rsidRDefault="00D57439" w:rsidP="00D57439">
      <w:pPr>
        <w:jc w:val="both"/>
      </w:pPr>
    </w:p>
    <w:sectPr w:rsidR="00D5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39"/>
    <w:rsid w:val="00D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16B51-028F-44A1-9E6E-7F951C13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tk-rf/chast-iii/razdel-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Kosheleva</dc:creator>
  <cp:keywords/>
  <dc:description/>
  <cp:lastModifiedBy>Kosheleva</cp:lastModifiedBy>
  <cp:revision>1</cp:revision>
  <dcterms:created xsi:type="dcterms:W3CDTF">2022-11-24T02:02:00Z</dcterms:created>
  <dcterms:modified xsi:type="dcterms:W3CDTF">2022-11-24T02:08:00Z</dcterms:modified>
</cp:coreProperties>
</file>